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2D5C" w:rsidRDefault="008767FA" w:rsidP="008767FA">
      <w:pPr>
        <w:shd w:val="clear" w:color="auto" w:fill="FFFFFF"/>
        <w:tabs>
          <w:tab w:val="left" w:pos="142"/>
          <w:tab w:val="left" w:pos="1418"/>
        </w:tabs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-254000</wp:posOffset>
            </wp:positionH>
            <wp:positionV relativeFrom="paragraph">
              <wp:posOffset>-441325</wp:posOffset>
            </wp:positionV>
            <wp:extent cx="6423025" cy="1828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D5C" w:rsidRPr="008767FA" w:rsidRDefault="007A2D5C" w:rsidP="008767FA">
      <w:pPr>
        <w:shd w:val="clear" w:color="auto" w:fill="FFFFFF"/>
        <w:tabs>
          <w:tab w:val="left" w:pos="142"/>
          <w:tab w:val="left" w:pos="1418"/>
        </w:tabs>
        <w:spacing w:before="307"/>
        <w:ind w:firstLine="709"/>
        <w:contextualSpacing/>
        <w:jc w:val="center"/>
        <w:rPr>
          <w:b/>
          <w:iCs/>
          <w:color w:val="000000"/>
          <w:sz w:val="28"/>
          <w:szCs w:val="28"/>
        </w:rPr>
      </w:pPr>
      <w:r w:rsidRPr="008767FA">
        <w:rPr>
          <w:b/>
          <w:iCs/>
          <w:color w:val="000000"/>
          <w:sz w:val="28"/>
          <w:szCs w:val="28"/>
        </w:rPr>
        <w:t>ПОЛОЖЕНИЕ</w:t>
      </w:r>
    </w:p>
    <w:p w:rsidR="007A2D5C" w:rsidRDefault="007A2D5C" w:rsidP="008767FA">
      <w:pPr>
        <w:shd w:val="clear" w:color="auto" w:fill="FFFFFF"/>
        <w:tabs>
          <w:tab w:val="left" w:pos="142"/>
          <w:tab w:val="left" w:pos="1418"/>
        </w:tabs>
        <w:spacing w:before="307"/>
        <w:ind w:firstLine="709"/>
        <w:contextualSpacing/>
        <w:jc w:val="center"/>
        <w:rPr>
          <w:b/>
          <w:iCs/>
          <w:color w:val="000000"/>
          <w:sz w:val="28"/>
          <w:szCs w:val="28"/>
        </w:rPr>
      </w:pPr>
      <w:r w:rsidRPr="008767FA">
        <w:rPr>
          <w:b/>
          <w:iCs/>
          <w:color w:val="000000"/>
          <w:sz w:val="28"/>
          <w:szCs w:val="28"/>
        </w:rPr>
        <w:t>О совете молодых педагогиче</w:t>
      </w:r>
      <w:r w:rsidR="008767FA" w:rsidRPr="008767FA">
        <w:rPr>
          <w:b/>
          <w:iCs/>
          <w:color w:val="000000"/>
          <w:sz w:val="28"/>
          <w:szCs w:val="28"/>
        </w:rPr>
        <w:t>ских работников из числа членов п</w:t>
      </w:r>
      <w:r w:rsidRPr="008767FA">
        <w:rPr>
          <w:b/>
          <w:iCs/>
          <w:color w:val="000000"/>
          <w:sz w:val="28"/>
          <w:szCs w:val="28"/>
        </w:rPr>
        <w:t>ервичных профсоюзных организация Чебоксарской городской организации профсоюза работников народного образования и науки РФ</w:t>
      </w:r>
    </w:p>
    <w:p w:rsidR="008767FA" w:rsidRPr="008767FA" w:rsidRDefault="008767FA" w:rsidP="008767FA">
      <w:pPr>
        <w:shd w:val="clear" w:color="auto" w:fill="FFFFFF"/>
        <w:tabs>
          <w:tab w:val="left" w:pos="142"/>
          <w:tab w:val="left" w:pos="1418"/>
        </w:tabs>
        <w:spacing w:before="307"/>
        <w:ind w:firstLine="709"/>
        <w:contextualSpacing/>
        <w:jc w:val="center"/>
        <w:rPr>
          <w:b/>
          <w:iCs/>
          <w:color w:val="000000"/>
          <w:sz w:val="28"/>
          <w:szCs w:val="28"/>
        </w:rPr>
      </w:pPr>
    </w:p>
    <w:p w:rsidR="007A2D5C" w:rsidRPr="008767FA" w:rsidRDefault="008767FA" w:rsidP="008767FA">
      <w:pPr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b/>
          <w:sz w:val="28"/>
          <w:szCs w:val="28"/>
        </w:rPr>
      </w:pPr>
      <w:r w:rsidRPr="008767FA">
        <w:rPr>
          <w:rFonts w:eastAsia="Times New Roman"/>
          <w:b/>
          <w:iCs/>
          <w:color w:val="000000"/>
          <w:sz w:val="28"/>
          <w:szCs w:val="28"/>
        </w:rPr>
        <w:t>Общие положения:</w:t>
      </w:r>
    </w:p>
    <w:p w:rsidR="007A2D5C" w:rsidRPr="007A2D5C" w:rsidRDefault="008767FA" w:rsidP="008767FA">
      <w:pPr>
        <w:numPr>
          <w:ilvl w:val="1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Совет молодых</w:t>
      </w:r>
      <w:r w:rsidRPr="007A2D5C">
        <w:rPr>
          <w:rFonts w:eastAsia="Times New Roman"/>
          <w:color w:val="000000"/>
          <w:sz w:val="28"/>
          <w:szCs w:val="28"/>
        </w:rPr>
        <w:t xml:space="preserve"> педагогических работников (далее по тексту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СМПР) из</w:t>
      </w:r>
      <w:r w:rsidR="007A2D5C" w:rsidRPr="007A2D5C">
        <w:rPr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числа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членов первичных профс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оюзных организаций Чебоксарской </w:t>
      </w:r>
      <w:r w:rsidRPr="007A2D5C">
        <w:rPr>
          <w:rFonts w:eastAsia="Times New Roman"/>
          <w:color w:val="000000"/>
          <w:sz w:val="28"/>
          <w:szCs w:val="28"/>
        </w:rPr>
        <w:t>городской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 xml:space="preserve">организации профсоюза работников народного образования и </w:t>
      </w:r>
      <w:r>
        <w:rPr>
          <w:rFonts w:eastAsia="Times New Roman"/>
          <w:color w:val="000000"/>
          <w:sz w:val="28"/>
          <w:szCs w:val="28"/>
        </w:rPr>
        <w:t xml:space="preserve"> н</w:t>
      </w:r>
      <w:r w:rsidRPr="007A2D5C">
        <w:rPr>
          <w:rFonts w:eastAsia="Times New Roman"/>
          <w:color w:val="000000"/>
          <w:sz w:val="28"/>
          <w:szCs w:val="28"/>
        </w:rPr>
        <w:t>ауки РФ (далее по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тексту Чебоксарская городская организация профсоюза об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разования) </w:t>
      </w:r>
      <w:r w:rsidRPr="007A2D5C">
        <w:rPr>
          <w:rFonts w:eastAsia="Times New Roman"/>
          <w:color w:val="000000"/>
          <w:sz w:val="28"/>
          <w:szCs w:val="28"/>
        </w:rPr>
        <w:t>является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постоянно действующим </w:t>
      </w:r>
      <w:r w:rsidRPr="007A2D5C">
        <w:rPr>
          <w:rFonts w:eastAsia="Times New Roman"/>
          <w:color w:val="000000"/>
          <w:sz w:val="28"/>
          <w:szCs w:val="28"/>
        </w:rPr>
        <w:t>представительным органом молодых педагогических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работ</w:t>
      </w:r>
      <w:r>
        <w:rPr>
          <w:rFonts w:eastAsia="Times New Roman"/>
          <w:color w:val="000000"/>
          <w:sz w:val="28"/>
          <w:szCs w:val="28"/>
        </w:rPr>
        <w:t>ников из числа членов первичных п</w:t>
      </w:r>
      <w:r w:rsidRPr="007A2D5C">
        <w:rPr>
          <w:rFonts w:eastAsia="Times New Roman"/>
          <w:color w:val="000000"/>
          <w:sz w:val="28"/>
          <w:szCs w:val="28"/>
        </w:rPr>
        <w:t>рофсоюзных организаций городской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организации Профсоюза (далее по тексту молодых педагогических работников),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созданным в целях по</w:t>
      </w:r>
      <w:r w:rsidRPr="007A2D5C">
        <w:rPr>
          <w:rFonts w:eastAsia="Times New Roman"/>
          <w:color w:val="000000"/>
          <w:sz w:val="28"/>
          <w:szCs w:val="28"/>
        </w:rPr>
        <w:t>ддержки молодых специалистов в сфере образования,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решения с</w:t>
      </w:r>
      <w:r w:rsidRPr="007A2D5C">
        <w:rPr>
          <w:rFonts w:eastAsia="Times New Roman"/>
          <w:color w:val="000000"/>
          <w:sz w:val="28"/>
          <w:szCs w:val="28"/>
        </w:rPr>
        <w:t>оциально-экономических проблем, защиты их прав и интересов.</w:t>
      </w:r>
    </w:p>
    <w:p w:rsidR="007A2D5C" w:rsidRPr="007A2D5C" w:rsidRDefault="008767FA" w:rsidP="008767FA">
      <w:pPr>
        <w:numPr>
          <w:ilvl w:val="1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СМПР   действует   в   соответствии   с   Конституцией   РФ,   законо</w:t>
      </w:r>
      <w:r w:rsidRPr="007A2D5C">
        <w:rPr>
          <w:rFonts w:eastAsia="Times New Roman"/>
          <w:color w:val="000000"/>
          <w:sz w:val="28"/>
          <w:szCs w:val="28"/>
        </w:rPr>
        <w:softHyphen/>
      </w:r>
      <w:r w:rsidRPr="007A2D5C">
        <w:rPr>
          <w:rFonts w:eastAsia="Times New Roman"/>
          <w:color w:val="000000"/>
          <w:sz w:val="28"/>
          <w:szCs w:val="28"/>
        </w:rPr>
        <w:t>дательством   Российской   Федерации   и   Чувашской   Респуб</w:t>
      </w:r>
      <w:r w:rsidRPr="007A2D5C">
        <w:rPr>
          <w:rFonts w:eastAsia="Times New Roman"/>
          <w:color w:val="000000"/>
          <w:sz w:val="28"/>
          <w:szCs w:val="28"/>
        </w:rPr>
        <w:t>лики,   Уставом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Профсоюза,   Положением   Чебоксарской   городской   организации   профсоюза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работников народного образования и науки РФ и настоящим положением.</w:t>
      </w:r>
    </w:p>
    <w:p w:rsidR="007A2D5C" w:rsidRPr="008767FA" w:rsidRDefault="008767FA" w:rsidP="008767FA">
      <w:pPr>
        <w:numPr>
          <w:ilvl w:val="1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СМПР    осуществляет    свою    деятельность,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взаимодействуя    с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Чебоксарской   городс</w:t>
      </w:r>
      <w:r w:rsidRPr="007A2D5C">
        <w:rPr>
          <w:rFonts w:eastAsia="Times New Roman"/>
          <w:color w:val="000000"/>
          <w:sz w:val="28"/>
          <w:szCs w:val="28"/>
        </w:rPr>
        <w:t>кой   организац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ии   профсоюза   образования, </w:t>
      </w:r>
      <w:r w:rsidRPr="007A2D5C">
        <w:rPr>
          <w:rFonts w:eastAsia="Times New Roman"/>
          <w:color w:val="000000"/>
          <w:sz w:val="28"/>
          <w:szCs w:val="28"/>
        </w:rPr>
        <w:t>управлением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 xml:space="preserve">образования администрации города Чебоксары, </w:t>
      </w:r>
      <w:r>
        <w:rPr>
          <w:rFonts w:eastAsia="Times New Roman"/>
          <w:color w:val="000000"/>
          <w:sz w:val="28"/>
          <w:szCs w:val="28"/>
        </w:rPr>
        <w:t>А</w:t>
      </w:r>
      <w:r w:rsidRPr="007A2D5C">
        <w:rPr>
          <w:rFonts w:eastAsia="Times New Roman"/>
          <w:color w:val="000000"/>
          <w:sz w:val="28"/>
          <w:szCs w:val="28"/>
        </w:rPr>
        <w:t>У «Центр мониторинга и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развития образования», социальными партнерами, общественными и иными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молодежными организациями.</w:t>
      </w:r>
    </w:p>
    <w:p w:rsidR="008767FA" w:rsidRPr="007A2D5C" w:rsidRDefault="008767FA" w:rsidP="008767FA">
      <w:pPr>
        <w:shd w:val="clear" w:color="auto" w:fill="FFFFFF"/>
        <w:tabs>
          <w:tab w:val="left" w:pos="142"/>
          <w:tab w:val="left" w:pos="1418"/>
        </w:tabs>
        <w:spacing w:before="307"/>
        <w:ind w:left="709"/>
        <w:contextualSpacing/>
        <w:jc w:val="both"/>
        <w:rPr>
          <w:sz w:val="28"/>
          <w:szCs w:val="28"/>
        </w:rPr>
      </w:pPr>
    </w:p>
    <w:p w:rsidR="007A2D5C" w:rsidRPr="008767FA" w:rsidRDefault="008767FA" w:rsidP="008767FA">
      <w:pPr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b/>
          <w:sz w:val="28"/>
          <w:szCs w:val="28"/>
        </w:rPr>
      </w:pPr>
      <w:r w:rsidRPr="008767FA">
        <w:rPr>
          <w:rFonts w:eastAsia="Times New Roman"/>
          <w:b/>
          <w:iCs/>
          <w:color w:val="000000"/>
          <w:sz w:val="28"/>
          <w:szCs w:val="28"/>
        </w:rPr>
        <w:t xml:space="preserve">Основные задачи и направления </w:t>
      </w:r>
      <w:r w:rsidRPr="008767FA">
        <w:rPr>
          <w:rFonts w:eastAsia="Times New Roman"/>
          <w:b/>
          <w:iCs/>
          <w:color w:val="000000"/>
          <w:sz w:val="28"/>
          <w:szCs w:val="28"/>
        </w:rPr>
        <w:t>деятельности СМПР:</w:t>
      </w:r>
    </w:p>
    <w:p w:rsidR="007A2D5C" w:rsidRPr="007A2D5C" w:rsidRDefault="008767FA" w:rsidP="008767FA">
      <w:pPr>
        <w:numPr>
          <w:ilvl w:val="1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Основными   задачами   СМПР   являются   объединение   усилий   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координация действий молодых педагогических работников членов профсоюза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по выражению и защите социально-экономических прав и интересов, а также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способствовать эффекти</w:t>
      </w:r>
      <w:r w:rsidRPr="007A2D5C">
        <w:rPr>
          <w:rFonts w:eastAsia="Times New Roman"/>
          <w:color w:val="000000"/>
          <w:sz w:val="28"/>
          <w:szCs w:val="28"/>
        </w:rPr>
        <w:t>вному решению их профессиональных и социальных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проблем, заниматься творческим, духовным и социальным развитием молодого</w:t>
      </w:r>
      <w:r w:rsidRPr="007A2D5C">
        <w:rPr>
          <w:rFonts w:eastAsia="Times New Roman"/>
          <w:color w:val="000000"/>
          <w:sz w:val="28"/>
          <w:szCs w:val="28"/>
        </w:rPr>
        <w:t xml:space="preserve"> специалиста.</w:t>
      </w:r>
    </w:p>
    <w:p w:rsidR="007A2D5C" w:rsidRPr="007A2D5C" w:rsidRDefault="008767FA" w:rsidP="008767FA">
      <w:pPr>
        <w:numPr>
          <w:ilvl w:val="1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Д</w:t>
      </w:r>
      <w:r w:rsidR="007A2D5C" w:rsidRPr="007A2D5C">
        <w:rPr>
          <w:rFonts w:eastAsia="Times New Roman"/>
          <w:color w:val="000000"/>
          <w:sz w:val="28"/>
          <w:szCs w:val="28"/>
        </w:rPr>
        <w:t>л</w:t>
      </w:r>
      <w:r w:rsidRPr="007A2D5C">
        <w:rPr>
          <w:rFonts w:eastAsia="Times New Roman"/>
          <w:color w:val="000000"/>
          <w:sz w:val="28"/>
          <w:szCs w:val="28"/>
        </w:rPr>
        <w:t>я решения основных задач СМПР: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Разрабатывает и вносит на рассмотрение руководящих органов</w:t>
      </w:r>
      <w:r w:rsidRPr="007A2D5C">
        <w:rPr>
          <w:rFonts w:eastAsia="Times New Roman"/>
          <w:color w:val="000000"/>
          <w:sz w:val="28"/>
          <w:szCs w:val="28"/>
        </w:rPr>
        <w:br/>
        <w:t xml:space="preserve">управления образования администрации г. Чебоксары и Чебоксарской городской организации профсоюза образования предложения, направленные на решение социально-экономических и правовых проблем молодых </w:t>
      </w:r>
      <w:r w:rsidRPr="007A2D5C">
        <w:rPr>
          <w:rFonts w:eastAsia="Times New Roman"/>
          <w:color w:val="000000"/>
          <w:sz w:val="28"/>
          <w:szCs w:val="28"/>
        </w:rPr>
        <w:lastRenderedPageBreak/>
        <w:t>педагогических работников.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Изучает дей</w:t>
      </w:r>
      <w:r w:rsidRPr="007A2D5C">
        <w:rPr>
          <w:rFonts w:eastAsia="Times New Roman"/>
          <w:color w:val="000000"/>
          <w:sz w:val="28"/>
          <w:szCs w:val="28"/>
        </w:rPr>
        <w:t>ствующее законодательство по вопросам, касающимся</w:t>
      </w:r>
      <w:r w:rsidRPr="007A2D5C">
        <w:rPr>
          <w:rFonts w:eastAsia="Times New Roman"/>
          <w:color w:val="000000"/>
          <w:sz w:val="28"/>
          <w:szCs w:val="28"/>
        </w:rPr>
        <w:br/>
      </w:r>
      <w:r w:rsidRPr="007A2D5C">
        <w:rPr>
          <w:rFonts w:eastAsia="Times New Roman"/>
          <w:color w:val="000000"/>
          <w:sz w:val="28"/>
          <w:szCs w:val="28"/>
        </w:rPr>
        <w:t>прав и гарантий молодых педагогических работников, готовит предложения по его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применению и соблюдению.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Рассматривает  вопросы,  касающиеся  молодых  педагогов  в  сфере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молодёжной политики.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Вносит предложения совету управления образования администрации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города Чебоксары, президиуму Чебоксарской городской организации профсоюза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образования, по проведению мероприятий, направленных на: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защиту прав и гарантий молодых педагогически</w:t>
      </w:r>
      <w:r w:rsidRPr="007A2D5C">
        <w:rPr>
          <w:rFonts w:eastAsia="Times New Roman"/>
          <w:color w:val="000000"/>
          <w:sz w:val="28"/>
          <w:szCs w:val="28"/>
        </w:rPr>
        <w:t>х работников;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формирование     установки,     направленной     на     высокоэффективный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жизненный стиль молодых педагогических работников;</w:t>
      </w:r>
    </w:p>
    <w:p w:rsidR="007A2D5C" w:rsidRPr="007A2D5C" w:rsidRDefault="008767FA" w:rsidP="008767FA">
      <w:pPr>
        <w:numPr>
          <w:ilvl w:val="2"/>
          <w:numId w:val="8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участие в организации и проведении мероприятий;</w:t>
      </w:r>
    </w:p>
    <w:p w:rsidR="007A2D5C" w:rsidRPr="008767FA" w:rsidRDefault="008767FA" w:rsidP="008767FA">
      <w:pPr>
        <w:numPr>
          <w:ilvl w:val="2"/>
          <w:numId w:val="9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По поручению управления образования администрации, пре</w:t>
      </w:r>
      <w:r w:rsidRPr="007A2D5C">
        <w:rPr>
          <w:rFonts w:eastAsia="Times New Roman"/>
          <w:color w:val="000000"/>
          <w:sz w:val="28"/>
          <w:szCs w:val="28"/>
        </w:rPr>
        <w:t>зидиума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Чебоксарской городской организации профсоюза образования, проводит встречи с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социальными партнерами, общественными организациями, СМИ по социально-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экономическим и правовым вопросам,  касающимся молодых педагогических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работников.</w:t>
      </w:r>
    </w:p>
    <w:p w:rsidR="008767FA" w:rsidRPr="007A2D5C" w:rsidRDefault="008767FA" w:rsidP="008767FA">
      <w:pPr>
        <w:shd w:val="clear" w:color="auto" w:fill="FFFFFF"/>
        <w:tabs>
          <w:tab w:val="left" w:pos="142"/>
          <w:tab w:val="left" w:pos="1418"/>
        </w:tabs>
        <w:spacing w:before="307"/>
        <w:ind w:left="709"/>
        <w:contextualSpacing/>
        <w:jc w:val="both"/>
        <w:rPr>
          <w:color w:val="000000"/>
          <w:sz w:val="28"/>
          <w:szCs w:val="28"/>
        </w:rPr>
      </w:pPr>
    </w:p>
    <w:p w:rsidR="00000000" w:rsidRPr="008767FA" w:rsidRDefault="008767FA" w:rsidP="008767FA">
      <w:pPr>
        <w:numPr>
          <w:ilvl w:val="0"/>
          <w:numId w:val="9"/>
        </w:numPr>
        <w:shd w:val="clear" w:color="auto" w:fill="FFFFFF"/>
        <w:tabs>
          <w:tab w:val="left" w:pos="142"/>
          <w:tab w:val="left" w:pos="1418"/>
        </w:tabs>
        <w:spacing w:before="307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767FA">
        <w:rPr>
          <w:rFonts w:eastAsia="Times New Roman"/>
          <w:b/>
          <w:iCs/>
          <w:color w:val="000000"/>
          <w:sz w:val="28"/>
          <w:szCs w:val="28"/>
        </w:rPr>
        <w:t>Структура и р</w:t>
      </w:r>
      <w:r w:rsidRPr="008767FA">
        <w:rPr>
          <w:rFonts w:eastAsia="Times New Roman"/>
          <w:b/>
          <w:iCs/>
          <w:color w:val="000000"/>
          <w:sz w:val="28"/>
          <w:szCs w:val="28"/>
        </w:rPr>
        <w:t>уководящие органы СМПР: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219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СМПР создается по решению управления образования администрации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города Чебоксары и городской организацией профсоюза образования, и работает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под их руководством.</w:t>
      </w:r>
    </w:p>
    <w:p w:rsidR="00000000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219"/>
          <w:tab w:val="left" w:pos="1418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 xml:space="preserve">СМПР формируется из молодых педагогических работников </w:t>
      </w:r>
      <w:r w:rsidRPr="007A2D5C">
        <w:rPr>
          <w:rFonts w:eastAsia="Times New Roman"/>
          <w:color w:val="000000"/>
          <w:sz w:val="28"/>
          <w:szCs w:val="28"/>
        </w:rPr>
        <w:t>из числа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членов    первичных    профсоюзных    организаций    Чебоксарской    городской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организации профсоюза образования.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Координацию   деятельности   СМПР   осуществляет   Чебоксарская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городская организация профсоюза образования.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Деятельнос</w:t>
      </w:r>
      <w:r w:rsidRPr="007A2D5C">
        <w:rPr>
          <w:rFonts w:eastAsia="Times New Roman"/>
          <w:color w:val="000000"/>
          <w:sz w:val="28"/>
          <w:szCs w:val="28"/>
        </w:rPr>
        <w:t>тью СМПР руководит председатель, а в его отсутствии 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заместитель      председателя,   которые   избираются   на   заседании СМПР на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 xml:space="preserve">срок его полномочий, и утверждаются </w:t>
      </w:r>
      <w:r>
        <w:rPr>
          <w:rFonts w:eastAsia="Times New Roman"/>
          <w:color w:val="000000"/>
          <w:sz w:val="28"/>
          <w:szCs w:val="28"/>
        </w:rPr>
        <w:t xml:space="preserve"> п</w:t>
      </w:r>
      <w:r w:rsidRPr="007A2D5C">
        <w:rPr>
          <w:rFonts w:eastAsia="Times New Roman"/>
          <w:color w:val="000000"/>
          <w:sz w:val="28"/>
          <w:szCs w:val="28"/>
        </w:rPr>
        <w:t>резидиумом Чебоксарской городской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организации профсоюза образования.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Заседани</w:t>
      </w:r>
      <w:r w:rsidRPr="007A2D5C">
        <w:rPr>
          <w:rFonts w:eastAsia="Times New Roman"/>
          <w:color w:val="000000"/>
          <w:sz w:val="28"/>
          <w:szCs w:val="28"/>
        </w:rPr>
        <w:t>е СМПР проводится по мер</w:t>
      </w:r>
      <w:r w:rsidR="007A2D5C" w:rsidRPr="007A2D5C">
        <w:rPr>
          <w:rFonts w:eastAsia="Times New Roman"/>
          <w:color w:val="000000"/>
          <w:sz w:val="28"/>
          <w:szCs w:val="28"/>
        </w:rPr>
        <w:t>е необходимости, но не реже дву</w:t>
      </w:r>
      <w:r>
        <w:rPr>
          <w:rFonts w:eastAsia="Times New Roman"/>
          <w:color w:val="000000"/>
          <w:sz w:val="28"/>
          <w:szCs w:val="28"/>
        </w:rPr>
        <w:t xml:space="preserve">х </w:t>
      </w:r>
      <w:r w:rsidRPr="007A2D5C">
        <w:rPr>
          <w:rFonts w:eastAsia="Times New Roman"/>
          <w:color w:val="000000"/>
          <w:sz w:val="28"/>
          <w:szCs w:val="28"/>
        </w:rPr>
        <w:t>раз в год и считаются правомочными, если на ни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х присутствует не менее половины </w:t>
      </w:r>
      <w:r w:rsidRPr="007A2D5C">
        <w:rPr>
          <w:rFonts w:eastAsia="Times New Roman"/>
          <w:color w:val="000000"/>
          <w:sz w:val="28"/>
          <w:szCs w:val="28"/>
        </w:rPr>
        <w:t>от    общего    числа    членов    молодежного    совета.    Решения    принимаются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большинством   голосов   членов   мо</w:t>
      </w:r>
      <w:r w:rsidRPr="007A2D5C">
        <w:rPr>
          <w:rFonts w:eastAsia="Times New Roman"/>
          <w:color w:val="000000"/>
          <w:sz w:val="28"/>
          <w:szCs w:val="28"/>
        </w:rPr>
        <w:t>лодежного   совета,   присутствующих   на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заседании.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СМПР</w:t>
      </w:r>
      <w:r w:rsidR="007A2D5C" w:rsidRPr="007A2D5C">
        <w:rPr>
          <w:rFonts w:eastAsia="Times New Roman"/>
          <w:color w:val="000000"/>
          <w:sz w:val="28"/>
          <w:szCs w:val="28"/>
        </w:rPr>
        <w:t>:</w:t>
      </w:r>
    </w:p>
    <w:p w:rsidR="007A2D5C" w:rsidRPr="007A2D5C" w:rsidRDefault="008767FA" w:rsidP="008767FA">
      <w:pPr>
        <w:numPr>
          <w:ilvl w:val="0"/>
          <w:numId w:val="13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определяет основные направления деятельности СМПР;</w:t>
      </w:r>
    </w:p>
    <w:p w:rsidR="007A2D5C" w:rsidRPr="007A2D5C" w:rsidRDefault="008767FA" w:rsidP="008767FA">
      <w:pPr>
        <w:numPr>
          <w:ilvl w:val="0"/>
          <w:numId w:val="13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рассматривает  важнейшие  вопросы  защиты  социально-экономических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прав и интересов молодых педагогических работников;</w:t>
      </w:r>
    </w:p>
    <w:p w:rsidR="007A2D5C" w:rsidRPr="007A2D5C" w:rsidRDefault="008767FA" w:rsidP="008767FA">
      <w:pPr>
        <w:numPr>
          <w:ilvl w:val="0"/>
          <w:numId w:val="13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изби</w:t>
      </w:r>
      <w:r w:rsidRPr="007A2D5C">
        <w:rPr>
          <w:rFonts w:eastAsia="Times New Roman"/>
          <w:color w:val="000000"/>
          <w:sz w:val="28"/>
          <w:szCs w:val="28"/>
        </w:rPr>
        <w:t>рает председателя, заместителя председателя и секретаря СМПР;</w:t>
      </w:r>
    </w:p>
    <w:p w:rsidR="007A2D5C" w:rsidRPr="007A2D5C" w:rsidRDefault="008767FA" w:rsidP="008767FA">
      <w:pPr>
        <w:numPr>
          <w:ilvl w:val="0"/>
          <w:numId w:val="13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lastRenderedPageBreak/>
        <w:t>осуществляет другие фун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кции в соответствии с настоящим </w:t>
      </w:r>
      <w:r w:rsidRPr="007A2D5C">
        <w:rPr>
          <w:rFonts w:eastAsia="Times New Roman"/>
          <w:color w:val="000000"/>
          <w:sz w:val="28"/>
          <w:szCs w:val="28"/>
        </w:rPr>
        <w:t>Положением.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Председатель осуществляет планирование работы СМПР и проводит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заседания СМПР.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Секретарь</w:t>
      </w:r>
      <w:r w:rsidRPr="007A2D5C">
        <w:rPr>
          <w:rFonts w:eastAsia="Times New Roman"/>
          <w:color w:val="000000"/>
          <w:sz w:val="28"/>
          <w:szCs w:val="28"/>
        </w:rPr>
        <w:t xml:space="preserve">      СМПР      осуществляет      ведение      документации,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протоколирует заседания.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Заседание  совета  СМПР  считается  правомочным  при  участии  в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>нем не менее 2/3 членов СМПР. Решение считается принятым, если за него</w:t>
      </w:r>
      <w:r w:rsidR="007A2D5C" w:rsidRPr="007A2D5C">
        <w:rPr>
          <w:rFonts w:eastAsia="Times New Roman"/>
          <w:color w:val="000000"/>
          <w:sz w:val="28"/>
          <w:szCs w:val="28"/>
        </w:rPr>
        <w:t xml:space="preserve"> </w:t>
      </w:r>
      <w:r w:rsidRPr="007A2D5C">
        <w:rPr>
          <w:rFonts w:eastAsia="Times New Roman"/>
          <w:color w:val="000000"/>
          <w:sz w:val="28"/>
          <w:szCs w:val="28"/>
        </w:rPr>
        <w:t xml:space="preserve">проголосовало более половины </w:t>
      </w:r>
      <w:r w:rsidRPr="007A2D5C">
        <w:rPr>
          <w:rFonts w:eastAsia="Times New Roman"/>
          <w:color w:val="000000"/>
          <w:sz w:val="28"/>
          <w:szCs w:val="28"/>
        </w:rPr>
        <w:t>участвующих в голосовании.</w:t>
      </w:r>
    </w:p>
    <w:p w:rsidR="007A2D5C" w:rsidRPr="008767FA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 xml:space="preserve">Организация выполнения принятых СМПР решений осуществляется </w:t>
      </w:r>
      <w:r w:rsidRPr="007A2D5C">
        <w:rPr>
          <w:rFonts w:eastAsia="Times New Roman"/>
          <w:color w:val="000000"/>
          <w:sz w:val="28"/>
          <w:szCs w:val="28"/>
        </w:rPr>
        <w:t>первичными профсоюзными организациями образовательных учреждений.</w:t>
      </w:r>
    </w:p>
    <w:p w:rsidR="008767FA" w:rsidRPr="007A2D5C" w:rsidRDefault="008767FA" w:rsidP="008767FA">
      <w:pPr>
        <w:shd w:val="clear" w:color="auto" w:fill="FFFFFF"/>
        <w:tabs>
          <w:tab w:val="left" w:pos="142"/>
          <w:tab w:val="left" w:pos="1363"/>
          <w:tab w:val="left" w:pos="1418"/>
        </w:tabs>
        <w:ind w:left="709"/>
        <w:contextualSpacing/>
        <w:jc w:val="both"/>
        <w:rPr>
          <w:sz w:val="28"/>
          <w:szCs w:val="28"/>
        </w:rPr>
      </w:pPr>
    </w:p>
    <w:p w:rsidR="007A2D5C" w:rsidRPr="008767FA" w:rsidRDefault="008767FA" w:rsidP="008767FA">
      <w:pPr>
        <w:numPr>
          <w:ilvl w:val="0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8767FA">
        <w:rPr>
          <w:rFonts w:eastAsia="Times New Roman"/>
          <w:b/>
          <w:iCs/>
          <w:color w:val="000000"/>
          <w:sz w:val="28"/>
          <w:szCs w:val="28"/>
        </w:rPr>
        <w:t>Документация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План работы СМПР.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Протоколы заседаний.</w:t>
      </w:r>
    </w:p>
    <w:p w:rsidR="007A2D5C" w:rsidRPr="007A2D5C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Отчеты о продел</w:t>
      </w:r>
      <w:r w:rsidRPr="007A2D5C">
        <w:rPr>
          <w:rFonts w:eastAsia="Times New Roman"/>
          <w:color w:val="000000"/>
          <w:sz w:val="28"/>
          <w:szCs w:val="28"/>
        </w:rPr>
        <w:t>анной работе.</w:t>
      </w:r>
    </w:p>
    <w:p w:rsidR="007A2D5C" w:rsidRPr="008767FA" w:rsidRDefault="008767FA" w:rsidP="008767FA">
      <w:pPr>
        <w:numPr>
          <w:ilvl w:val="1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>Методические рекомендации.</w:t>
      </w:r>
    </w:p>
    <w:p w:rsidR="008767FA" w:rsidRPr="007A2D5C" w:rsidRDefault="008767FA" w:rsidP="008767FA">
      <w:pPr>
        <w:shd w:val="clear" w:color="auto" w:fill="FFFFFF"/>
        <w:tabs>
          <w:tab w:val="left" w:pos="142"/>
          <w:tab w:val="left" w:pos="1363"/>
          <w:tab w:val="left" w:pos="1418"/>
        </w:tabs>
        <w:ind w:left="709"/>
        <w:contextualSpacing/>
        <w:jc w:val="both"/>
        <w:rPr>
          <w:sz w:val="28"/>
          <w:szCs w:val="28"/>
        </w:rPr>
      </w:pPr>
    </w:p>
    <w:p w:rsidR="00000000" w:rsidRPr="008767FA" w:rsidRDefault="008767FA" w:rsidP="008767FA">
      <w:pPr>
        <w:numPr>
          <w:ilvl w:val="0"/>
          <w:numId w:val="10"/>
        </w:numPr>
        <w:shd w:val="clear" w:color="auto" w:fill="FFFFFF"/>
        <w:tabs>
          <w:tab w:val="left" w:pos="142"/>
          <w:tab w:val="left" w:pos="1363"/>
          <w:tab w:val="lef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8767FA">
        <w:rPr>
          <w:rFonts w:eastAsia="Times New Roman"/>
          <w:b/>
          <w:iCs/>
          <w:color w:val="000000"/>
          <w:sz w:val="28"/>
          <w:szCs w:val="28"/>
        </w:rPr>
        <w:t>Заключительные положения:</w:t>
      </w:r>
    </w:p>
    <w:p w:rsidR="007A2D5C" w:rsidRPr="007A2D5C" w:rsidRDefault="008767FA" w:rsidP="008767FA">
      <w:pPr>
        <w:shd w:val="clear" w:color="auto" w:fill="FFFFFF"/>
        <w:tabs>
          <w:tab w:val="left" w:pos="142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7A2D5C">
        <w:rPr>
          <w:rFonts w:eastAsia="Times New Roman"/>
          <w:color w:val="000000"/>
          <w:sz w:val="28"/>
          <w:szCs w:val="28"/>
        </w:rPr>
        <w:t xml:space="preserve">Деятельность СМПР может быть прекращена по совместному решению </w:t>
      </w:r>
      <w:r w:rsidRPr="007A2D5C">
        <w:rPr>
          <w:rFonts w:eastAsia="Times New Roman"/>
          <w:color w:val="000000"/>
          <w:sz w:val="28"/>
          <w:szCs w:val="28"/>
        </w:rPr>
        <w:t xml:space="preserve">управления образования администрации города Чебоксары и городской </w:t>
      </w:r>
      <w:r w:rsidRPr="007A2D5C">
        <w:rPr>
          <w:rFonts w:eastAsia="Times New Roman"/>
          <w:color w:val="000000"/>
          <w:sz w:val="28"/>
          <w:szCs w:val="28"/>
        </w:rPr>
        <w:t>организацией профсоюза образования</w:t>
      </w:r>
    </w:p>
    <w:sectPr w:rsidR="007A2D5C" w:rsidRPr="007A2D5C" w:rsidSect="007A2D5C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4EAFD6"/>
    <w:lvl w:ilvl="0">
      <w:numFmt w:val="bullet"/>
      <w:lvlText w:val="*"/>
      <w:lvlJc w:val="left"/>
    </w:lvl>
  </w:abstractNum>
  <w:abstractNum w:abstractNumId="1">
    <w:nsid w:val="167D7A74"/>
    <w:multiLevelType w:val="singleLevel"/>
    <w:tmpl w:val="2F5A04CC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2DE324A7"/>
    <w:multiLevelType w:val="hybridMultilevel"/>
    <w:tmpl w:val="862A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45FC7"/>
    <w:multiLevelType w:val="singleLevel"/>
    <w:tmpl w:val="3EF6B03C"/>
    <w:lvl w:ilvl="0">
      <w:start w:val="4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3C1E0B9B"/>
    <w:multiLevelType w:val="multilevel"/>
    <w:tmpl w:val="A1A4B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116C5F"/>
    <w:multiLevelType w:val="singleLevel"/>
    <w:tmpl w:val="7F9AC092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5239253F"/>
    <w:multiLevelType w:val="multilevel"/>
    <w:tmpl w:val="2F02B1B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5D182CB7"/>
    <w:multiLevelType w:val="multilevel"/>
    <w:tmpl w:val="A1A4B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E8602D9"/>
    <w:multiLevelType w:val="multilevel"/>
    <w:tmpl w:val="ECD070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A8112C"/>
    <w:multiLevelType w:val="multilevel"/>
    <w:tmpl w:val="A1A4B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02D70AF"/>
    <w:multiLevelType w:val="singleLevel"/>
    <w:tmpl w:val="7CF09914"/>
    <w:lvl w:ilvl="0">
      <w:start w:val="2"/>
      <w:numFmt w:val="decimal"/>
      <w:lvlText w:val="2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1">
    <w:nsid w:val="75D06CA2"/>
    <w:multiLevelType w:val="multilevel"/>
    <w:tmpl w:val="0C6A7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7EE5"/>
    <w:rsid w:val="007A2D5C"/>
    <w:rsid w:val="008767FA"/>
    <w:rsid w:val="008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Подъельников Л.А.</dc:creator>
  <cp:lastModifiedBy>Подъельников Л.А.</cp:lastModifiedBy>
  <cp:revision>1</cp:revision>
  <dcterms:created xsi:type="dcterms:W3CDTF">2012-10-25T04:10:00Z</dcterms:created>
  <dcterms:modified xsi:type="dcterms:W3CDTF">2012-10-25T04:29:00Z</dcterms:modified>
</cp:coreProperties>
</file>